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40" w:before="0" w:after="0"/>
        <w:ind w:left="34" w:hanging="11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Обоснование </w:t>
        <w:br/>
        <w:t xml:space="preserve">начальной (максимальной) цены договора </w:t>
        <w:br/>
        <w:t>/ цены единицы товара, работы, услуги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highlight w:val="yellow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highlight w:val="yellow"/>
          <w:lang w:eastAsia="ru-RU"/>
        </w:rPr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284" w:leader="none"/>
        </w:tabs>
        <w:suppressAutoHyphens w:val="true"/>
        <w:spacing w:lineRule="auto" w:line="240" w:before="0" w:after="0"/>
        <w:jc w:val="both"/>
        <w:rPr>
          <w:rFonts w:ascii="Times New Roman" w:hAnsi="Times New Roman" w:eastAsia="Geneva" w:cs="Times New Roman"/>
          <w:sz w:val="24"/>
          <w:szCs w:val="24"/>
        </w:rPr>
      </w:pPr>
      <w:r>
        <w:rPr>
          <w:rFonts w:eastAsia="Geneva" w:cs="Times New Roman" w:ascii="Times New Roman" w:hAnsi="Times New Roman"/>
          <w:sz w:val="24"/>
          <w:szCs w:val="24"/>
        </w:rPr>
        <w:t>Общая информация</w:t>
      </w:r>
    </w:p>
    <w:tbl>
      <w:tblPr>
        <w:tblStyle w:val="af5"/>
        <w:tblW w:w="10235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9"/>
        <w:gridCol w:w="3682"/>
        <w:gridCol w:w="5844"/>
      </w:tblGrid>
      <w:tr>
        <w:trPr/>
        <w:tc>
          <w:tcPr>
            <w:tcW w:w="7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left"/>
              <w:rPr>
                <w:rFonts w:eastAsia="Geneva"/>
                <w:sz w:val="24"/>
                <w:szCs w:val="24"/>
              </w:rPr>
            </w:pPr>
            <w:r>
              <w:rPr>
                <w:rFonts w:eastAsia="Geneva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Geneva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36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Наименование</w:t>
            </w:r>
          </w:p>
        </w:tc>
        <w:tc>
          <w:tcPr>
            <w:tcW w:w="584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Информация по лоту</w:t>
            </w:r>
          </w:p>
        </w:tc>
      </w:tr>
      <w:tr>
        <w:trPr>
          <w:trHeight w:val="1299" w:hRule="atLeast"/>
        </w:trPr>
        <w:tc>
          <w:tcPr>
            <w:tcW w:w="709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1"/>
                <w:numId w:val="3"/>
              </w:numPr>
              <w:suppressAutoHyphens w:val="true"/>
              <w:spacing w:lineRule="auto" w:line="240" w:before="0" w:after="0"/>
              <w:ind w:left="0" w:hanging="0"/>
              <w:contextualSpacing/>
              <w:jc w:val="both"/>
              <w:rPr>
                <w:rFonts w:eastAsia="Geneva"/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</w:rPr>
            </w:r>
          </w:p>
        </w:tc>
        <w:tc>
          <w:tcPr>
            <w:tcW w:w="36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Наименование лота</w:t>
            </w:r>
          </w:p>
        </w:tc>
        <w:tc>
          <w:tcPr>
            <w:tcW w:w="584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ОКПД2 42.91.20.190 Текущий ремонт стальной оболочки турбинных водоводов п.н. 5,7,10 Саяно-Шушенской ГЭС</w:t>
            </w:r>
          </w:p>
        </w:tc>
      </w:tr>
      <w:tr>
        <w:trPr>
          <w:trHeight w:val="482" w:hRule="atLeast"/>
        </w:trPr>
        <w:tc>
          <w:tcPr>
            <w:tcW w:w="709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1"/>
                <w:numId w:val="3"/>
              </w:numPr>
              <w:suppressAutoHyphens w:val="true"/>
              <w:spacing w:lineRule="auto" w:line="240" w:before="0" w:after="0"/>
              <w:ind w:left="0" w:hanging="0"/>
              <w:contextualSpacing/>
              <w:jc w:val="both"/>
              <w:rPr>
                <w:rFonts w:eastAsia="Geneva"/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</w:rPr>
            </w:r>
          </w:p>
        </w:tc>
        <w:tc>
          <w:tcPr>
            <w:tcW w:w="36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left"/>
              <w:rPr>
                <w:rFonts w:eastAsia="Geneva"/>
                <w:sz w:val="24"/>
                <w:szCs w:val="24"/>
              </w:rPr>
            </w:pPr>
            <w:r>
              <w:rPr>
                <w:rFonts w:eastAsia="Geneva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Номер лота</w:t>
            </w:r>
          </w:p>
        </w:tc>
        <w:tc>
          <w:tcPr>
            <w:tcW w:w="584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en-US" w:eastAsia="ru-RU" w:bidi="ar-SA"/>
              </w:rPr>
              <w:t>182099-РЕМ ПРОД-2026-СШГЭС</w:t>
            </w:r>
          </w:p>
        </w:tc>
      </w:tr>
      <w:tr>
        <w:trPr>
          <w:trHeight w:val="493" w:hRule="atLeast"/>
        </w:trPr>
        <w:tc>
          <w:tcPr>
            <w:tcW w:w="709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1"/>
                <w:numId w:val="3"/>
              </w:numPr>
              <w:suppressAutoHyphens w:val="true"/>
              <w:spacing w:lineRule="auto" w:line="240" w:before="0" w:after="0"/>
              <w:ind w:left="0" w:hanging="0"/>
              <w:contextualSpacing/>
              <w:jc w:val="both"/>
              <w:rPr>
                <w:rFonts w:eastAsia="Geneva"/>
                <w:sz w:val="24"/>
                <w:szCs w:val="24"/>
              </w:rPr>
            </w:pPr>
            <w:r>
              <w:rPr>
                <w:rFonts w:eastAsia="Geneva"/>
                <w:sz w:val="24"/>
                <w:szCs w:val="24"/>
              </w:rPr>
            </w:r>
          </w:p>
        </w:tc>
        <w:tc>
          <w:tcPr>
            <w:tcW w:w="36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left"/>
              <w:rPr>
                <w:rFonts w:eastAsia="Geneva"/>
                <w:sz w:val="24"/>
                <w:szCs w:val="24"/>
              </w:rPr>
            </w:pPr>
            <w:r>
              <w:rPr>
                <w:rFonts w:eastAsia="Geneva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НМЦ</w:t>
            </w:r>
          </w:p>
        </w:tc>
        <w:tc>
          <w:tcPr>
            <w:tcW w:w="584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Geneva"/>
                <w:sz w:val="24"/>
                <w:szCs w:val="24"/>
              </w:rPr>
            </w:pPr>
            <w:r>
              <w:rPr>
                <w:rFonts w:eastAsia="Geneva" w:cs="Times New Roman"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>27 526 003,16</w:t>
            </w:r>
            <w:r>
              <w:rPr>
                <w:rFonts w:eastAsia="Geneva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Geneva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руб. без НДС</w:t>
            </w:r>
          </w:p>
        </w:tc>
      </w:tr>
    </w:tbl>
    <w:p>
      <w:pPr>
        <w:pStyle w:val="Normal"/>
        <w:tabs>
          <w:tab w:val="clear" w:pos="708"/>
          <w:tab w:val="left" w:pos="284" w:leader="none"/>
        </w:tabs>
        <w:suppressAutoHyphens w:val="true"/>
        <w:spacing w:lineRule="auto" w:line="240" w:before="0" w:after="0"/>
        <w:ind w:left="720" w:hanging="0"/>
        <w:jc w:val="both"/>
        <w:rPr>
          <w:rFonts w:ascii="Times New Roman" w:hAnsi="Times New Roman" w:eastAsia="Geneva" w:cs="Times New Roman"/>
          <w:sz w:val="24"/>
          <w:szCs w:val="24"/>
        </w:rPr>
      </w:pPr>
      <w:r>
        <w:rPr>
          <w:rFonts w:eastAsia="Geneva"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284" w:leader="none"/>
        </w:tabs>
        <w:suppressAutoHyphens w:val="true"/>
        <w:spacing w:lineRule="auto" w:line="240" w:before="0" w:after="0"/>
        <w:jc w:val="both"/>
        <w:rPr>
          <w:rFonts w:ascii="Times New Roman" w:hAnsi="Times New Roman" w:eastAsia="Geneva" w:cs="Times New Roman"/>
          <w:sz w:val="24"/>
          <w:szCs w:val="24"/>
        </w:rPr>
      </w:pPr>
      <w:r>
        <w:rPr>
          <w:rFonts w:eastAsia="Geneva" w:cs="Times New Roman" w:ascii="Times New Roman" w:hAnsi="Times New Roman"/>
          <w:sz w:val="24"/>
          <w:szCs w:val="24"/>
        </w:rPr>
        <w:t>Использованный метод (методы) расчета НМЦ / цены единицы товара, работы, услуги:</w:t>
      </w:r>
    </w:p>
    <w:p>
      <w:pPr>
        <w:pStyle w:val="ListParagraph"/>
        <w:keepNext w:val="true"/>
        <w:rPr>
          <w:rFonts w:ascii="Times New Roman" w:hAnsi="Times New Roman" w:eastAsia="Geneva" w:cs="Times New Roman"/>
          <w:bCs/>
          <w:sz w:val="24"/>
          <w:szCs w:val="24"/>
        </w:rPr>
      </w:pPr>
      <w:r>
        <w:rPr>
          <w:rFonts w:eastAsia="Geneva" w:cs="Times New Roman" w:ascii="Times New Roman" w:hAnsi="Times New Roman"/>
          <w:bCs/>
          <w:sz w:val="24"/>
          <w:szCs w:val="24"/>
        </w:rPr>
        <w:t>Базисно-индексный метод</w:t>
      </w:r>
    </w:p>
    <w:p>
      <w:pPr>
        <w:pStyle w:val="ListParagraph"/>
        <w:keepNext w:val="true"/>
        <w:rPr>
          <w:rFonts w:ascii="Times New Roman" w:hAnsi="Times New Roman" w:eastAsia="Geneva" w:cs="Times New Roman"/>
          <w:bCs/>
          <w:sz w:val="24"/>
          <w:szCs w:val="24"/>
        </w:rPr>
      </w:pPr>
      <w:r>
        <w:rPr>
          <w:rFonts w:eastAsia="Geneva" w:cs="Times New Roman" w:ascii="Times New Roman" w:hAnsi="Times New Roman"/>
          <w:bCs/>
          <w:sz w:val="24"/>
          <w:szCs w:val="24"/>
        </w:rPr>
        <w:t>Обоснование расчета НМЦ:</w:t>
      </w:r>
    </w:p>
    <w:tbl>
      <w:tblPr>
        <w:tblW w:w="10297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2109"/>
        <w:gridCol w:w="1860"/>
        <w:gridCol w:w="1895"/>
        <w:gridCol w:w="2500"/>
        <w:gridCol w:w="1933"/>
      </w:tblGrid>
      <w:tr>
        <w:trPr>
          <w:trHeight w:val="70" w:hRule="atLeast"/>
        </w:trPr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ListParagraph"/>
              <w:keepNext w:val="true"/>
              <w:widowControl w:val="false"/>
              <w:spacing w:before="0" w:after="160"/>
              <w:ind w:left="0" w:hanging="0"/>
              <w:contextualSpacing/>
              <w:rPr>
                <w:rFonts w:ascii="Times New Roman" w:hAnsi="Times New Roman" w:eastAsia="Geneva" w:cs="Times New Roman"/>
                <w:bCs/>
                <w:sz w:val="24"/>
                <w:szCs w:val="24"/>
              </w:rPr>
            </w:pPr>
            <w:r>
              <w:rPr>
                <w:rFonts w:eastAsia="Geneva" w:cs="Times New Roman" w:ascii="Times New Roman" w:hAnsi="Times New Roman"/>
                <w:bCs/>
                <w:sz w:val="24"/>
                <w:szCs w:val="24"/>
              </w:rPr>
              <w:t>Наименование товара/ работы/ услуги в составе лота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ListParagraph"/>
              <w:keepNext w:val="true"/>
              <w:widowControl w:val="false"/>
              <w:spacing w:before="0" w:after="160"/>
              <w:ind w:left="0" w:hanging="0"/>
              <w:contextualSpacing/>
              <w:rPr>
                <w:rFonts w:ascii="Times New Roman" w:hAnsi="Times New Roman" w:eastAsia="Geneva" w:cs="Times New Roman"/>
                <w:bCs/>
                <w:sz w:val="24"/>
                <w:szCs w:val="24"/>
              </w:rPr>
            </w:pPr>
            <w:r>
              <w:rPr>
                <w:rFonts w:eastAsia="Geneva" w:cs="Times New Roman" w:ascii="Times New Roman" w:hAnsi="Times New Roman"/>
                <w:bCs/>
                <w:sz w:val="24"/>
                <w:szCs w:val="24"/>
              </w:rPr>
              <w:t>Наименование источника ценовой информации (ИЦИ)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ListParagraph"/>
              <w:keepNext w:val="true"/>
              <w:widowControl w:val="false"/>
              <w:spacing w:before="0" w:after="160"/>
              <w:ind w:left="0" w:hanging="0"/>
              <w:contextualSpacing/>
              <w:rPr>
                <w:rFonts w:ascii="Times New Roman" w:hAnsi="Times New Roman" w:eastAsia="Geneva" w:cs="Times New Roman"/>
                <w:bCs/>
                <w:sz w:val="24"/>
                <w:szCs w:val="24"/>
              </w:rPr>
            </w:pPr>
            <w:r>
              <w:rPr>
                <w:rFonts w:eastAsia="Geneva" w:cs="Times New Roman" w:ascii="Times New Roman" w:hAnsi="Times New Roman"/>
                <w:bCs/>
                <w:sz w:val="24"/>
                <w:szCs w:val="24"/>
              </w:rPr>
              <w:t>Цена из соответствующего ИЦИ, в руб. без НДС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ListParagraph"/>
              <w:keepNext w:val="true"/>
              <w:widowControl w:val="false"/>
              <w:spacing w:before="0" w:after="160"/>
              <w:ind w:left="0" w:hanging="0"/>
              <w:contextualSpacing/>
              <w:rPr>
                <w:rFonts w:ascii="Times New Roman" w:hAnsi="Times New Roman" w:eastAsia="Geneva" w:cs="Times New Roman"/>
                <w:bCs/>
                <w:sz w:val="24"/>
                <w:szCs w:val="24"/>
              </w:rPr>
            </w:pPr>
            <w:r>
              <w:rPr>
                <w:rFonts w:eastAsia="Geneva" w:cs="Times New Roman" w:ascii="Times New Roman" w:hAnsi="Times New Roman"/>
                <w:bCs/>
                <w:sz w:val="24"/>
                <w:szCs w:val="24"/>
              </w:rPr>
              <w:t>Цена итоговая, в руб. без НДС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ListParagraph"/>
              <w:keepNext w:val="true"/>
              <w:widowControl w:val="false"/>
              <w:spacing w:before="0" w:after="160"/>
              <w:ind w:left="0" w:hanging="0"/>
              <w:contextualSpacing/>
              <w:rPr>
                <w:rFonts w:ascii="Times New Roman" w:hAnsi="Times New Roman" w:eastAsia="Geneva" w:cs="Times New Roman"/>
                <w:bCs/>
                <w:sz w:val="24"/>
                <w:szCs w:val="24"/>
              </w:rPr>
            </w:pPr>
            <w:r>
              <w:rPr>
                <w:rFonts w:eastAsia="Geneva" w:cs="Times New Roman" w:ascii="Times New Roman" w:hAnsi="Times New Roman"/>
                <w:bCs/>
                <w:sz w:val="24"/>
                <w:szCs w:val="24"/>
              </w:rPr>
              <w:t>Комментарии</w:t>
            </w:r>
          </w:p>
        </w:tc>
      </w:tr>
      <w:tr>
        <w:trPr>
          <w:trHeight w:val="3992" w:hRule="atLeast"/>
        </w:trPr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keepNext w:val="true"/>
              <w:widowControl w:val="false"/>
              <w:spacing w:before="0" w:after="160"/>
              <w:ind w:left="0" w:hanging="0"/>
              <w:contextualSpacing/>
              <w:rPr>
                <w:rFonts w:ascii="Times New Roman" w:hAnsi="Times New Roman" w:eastAsia="Geneva" w:cs="Times New Roman"/>
                <w:bCs/>
                <w:sz w:val="24"/>
                <w:szCs w:val="24"/>
              </w:rPr>
            </w:pPr>
            <w:r>
              <w:rPr>
                <w:rFonts w:eastAsia="Geneva" w:cs="Times New Roman" w:ascii="Times New Roman" w:hAnsi="Times New Roman"/>
                <w:bCs/>
                <w:sz w:val="24"/>
                <w:szCs w:val="24"/>
              </w:rPr>
              <w:t>ОКПД2 42.91.20.190 Текущий ремонт стальной оболочки турбинных водоводов п.н. 5,7,10 Саяно-Шушенской ГЭС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ListParagraph"/>
              <w:keepNext w:val="true"/>
              <w:widowControl w:val="false"/>
              <w:spacing w:before="0" w:after="160"/>
              <w:ind w:left="0" w:hanging="0"/>
              <w:contextualSpacing/>
              <w:rPr>
                <w:rFonts w:ascii="Times New Roman" w:hAnsi="Times New Roman" w:eastAsia="Geneva" w:cs="Times New Roman"/>
                <w:bCs/>
                <w:sz w:val="24"/>
                <w:szCs w:val="24"/>
              </w:rPr>
            </w:pPr>
            <w:r>
              <w:rPr>
                <w:rFonts w:eastAsia="Geneva" w:cs="Times New Roman" w:ascii="Times New Roman" w:hAnsi="Times New Roman"/>
                <w:bCs/>
                <w:sz w:val="24"/>
                <w:szCs w:val="24"/>
              </w:rPr>
              <w:t>Сметный расчет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keepNext w:val="true"/>
              <w:widowControl w:val="false"/>
              <w:spacing w:before="0" w:after="160"/>
              <w:ind w:left="0" w:hanging="0"/>
              <w:contextualSpacing/>
              <w:rPr>
                <w:rFonts w:ascii="Times New Roman" w:hAnsi="Times New Roman" w:eastAsia="Geneva" w:cs="Times New Roman"/>
                <w:bCs/>
                <w:sz w:val="24"/>
                <w:szCs w:val="24"/>
              </w:rPr>
            </w:pPr>
            <w:r>
              <w:rPr>
                <w:rFonts w:eastAsia="Geneva" w:cs="Times New Roman" w:ascii="Times New Roman" w:hAnsi="Times New Roman"/>
                <w:bCs/>
                <w:sz w:val="24"/>
                <w:szCs w:val="24"/>
              </w:rPr>
              <w:t>27 526 003,16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keepNext w:val="true"/>
              <w:widowControl w:val="false"/>
              <w:spacing w:before="0" w:after="160"/>
              <w:ind w:left="0" w:hanging="0"/>
              <w:contextualSpacing/>
              <w:rPr>
                <w:rFonts w:ascii="Times New Roman" w:hAnsi="Times New Roman" w:eastAsia="Geneva" w:cs="Times New Roman"/>
                <w:bCs/>
                <w:sz w:val="24"/>
                <w:szCs w:val="24"/>
              </w:rPr>
            </w:pPr>
            <w:r>
              <w:rPr>
                <w:rFonts w:eastAsia="Geneva" w:cs="Times New Roman" w:ascii="Times New Roman" w:hAnsi="Times New Roman"/>
                <w:bCs/>
                <w:sz w:val="24"/>
                <w:szCs w:val="24"/>
              </w:rPr>
              <w:t>27 526 003,16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keepNext w:val="true"/>
              <w:widowControl w:val="false"/>
              <w:spacing w:before="0" w:after="160"/>
              <w:ind w:left="0" w:hanging="0"/>
              <w:contextualSpacing/>
              <w:rPr>
                <w:rFonts w:ascii="Times New Roman" w:hAnsi="Times New Roman" w:eastAsia="Geneva" w:cs="Times New Roman"/>
                <w:bCs/>
                <w:sz w:val="24"/>
                <w:szCs w:val="24"/>
              </w:rPr>
            </w:pPr>
            <w:r>
              <w:rPr>
                <w:rFonts w:eastAsia="Geneva" w:cs="Times New Roman" w:ascii="Times New Roman" w:hAnsi="Times New Roman"/>
                <w:bCs/>
                <w:sz w:val="24"/>
                <w:szCs w:val="24"/>
              </w:rPr>
            </w:r>
          </w:p>
        </w:tc>
      </w:tr>
    </w:tbl>
    <w:p>
      <w:pPr>
        <w:pStyle w:val="ListParagraph"/>
        <w:keepNext w:val="true"/>
        <w:spacing w:before="0" w:after="160"/>
        <w:ind w:left="0" w:hanging="0"/>
        <w:contextualSpacing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.</w:t>
      </w:r>
    </w:p>
    <w:sectPr>
      <w:type w:val="nextPage"/>
      <w:pgSz w:w="11906" w:h="16838"/>
      <w:pgMar w:left="1134" w:right="850" w:gutter="0" w:header="0" w:top="568" w:footer="0" w:bottom="42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Calibri Light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1560"/>
        </w:tabs>
        <w:ind w:left="1560" w:hanging="1134"/>
      </w:pPr>
      <w:rPr>
        <w:sz w:val="28"/>
        <w:i w:val="false"/>
        <w:b/>
        <w:szCs w:val="28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sz w:val="26"/>
        <w:i w:val="false"/>
        <w:b w:val="false"/>
        <w:szCs w:val="26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i w:val="false"/>
        <w:b w:val="false"/>
      </w:rPr>
    </w:lvl>
    <w:lvl w:ilvl="4">
      <w:start w:val="1"/>
      <w:numFmt w:val="russianLower"/>
      <w:lvlText w:val="%5)"/>
      <w:lvlJc w:val="left"/>
      <w:pPr>
        <w:tabs>
          <w:tab w:val="num" w:pos="5104"/>
        </w:tabs>
        <w:ind w:left="5104" w:hanging="567"/>
      </w:pPr>
      <w:rPr>
        <w:i w:val="false"/>
        <w:b w:val="false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119b1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1"/>
    <w:qFormat/>
    <w:rsid w:val="00e20f6b"/>
    <w:pPr>
      <w:keepNext w:val="true"/>
      <w:keepLines/>
      <w:pageBreakBefore/>
      <w:numPr>
        <w:ilvl w:val="0"/>
        <w:numId w:val="2"/>
      </w:numPr>
      <w:suppressAutoHyphens w:val="true"/>
      <w:spacing w:lineRule="auto" w:line="240" w:before="480" w:after="240"/>
      <w:outlineLvl w:val="0"/>
    </w:pPr>
    <w:rPr>
      <w:rFonts w:ascii="Arial" w:hAnsi="Arial" w:eastAsia="Times New Roman" w:cs="Times New Roman"/>
      <w:b/>
      <w:kern w:val="2"/>
      <w:sz w:val="40"/>
      <w:szCs w:val="26"/>
      <w:lang w:eastAsia="ru-RU"/>
    </w:rPr>
  </w:style>
  <w:style w:type="paragraph" w:styleId="Heading2">
    <w:name w:val="Heading 2"/>
    <w:basedOn w:val="Normal"/>
    <w:next w:val="Normal"/>
    <w:link w:val="24"/>
    <w:qFormat/>
    <w:rsid w:val="00e20f6b"/>
    <w:pPr>
      <w:keepNext w:val="true"/>
      <w:numPr>
        <w:ilvl w:val="1"/>
        <w:numId w:val="2"/>
      </w:numPr>
      <w:suppressAutoHyphens w:val="true"/>
      <w:spacing w:lineRule="auto" w:line="240" w:before="360" w:after="120"/>
      <w:outlineLvl w:val="1"/>
    </w:pPr>
    <w:rPr>
      <w:rFonts w:ascii="Times New Roman" w:hAnsi="Times New Roman" w:eastAsia="Times New Roman" w:cs="Times New Roman"/>
      <w:b/>
      <w:sz w:val="32"/>
      <w:szCs w:val="26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7" w:customStyle="1">
    <w:name w:val="Текст примечания Знак"/>
    <w:basedOn w:val="DefaultParagraphFont"/>
    <w:link w:val="Annotationtext"/>
    <w:uiPriority w:val="99"/>
    <w:qFormat/>
    <w:rsid w:val="00d73daf"/>
    <w:rPr>
      <w:sz w:val="20"/>
      <w:szCs w:val="20"/>
    </w:rPr>
  </w:style>
  <w:style w:type="character" w:styleId="Annotationreference">
    <w:name w:val="annotation reference"/>
    <w:semiHidden/>
    <w:qFormat/>
    <w:rsid w:val="00d73daf"/>
    <w:rPr>
      <w:sz w:val="16"/>
      <w:szCs w:val="16"/>
    </w:rPr>
  </w:style>
  <w:style w:type="character" w:styleId="Style8" w:customStyle="1">
    <w:name w:val="Текст выноски Знак"/>
    <w:basedOn w:val="DefaultParagraphFont"/>
    <w:link w:val="BalloonText"/>
    <w:uiPriority w:val="99"/>
    <w:semiHidden/>
    <w:qFormat/>
    <w:rsid w:val="00d73daf"/>
    <w:rPr>
      <w:rFonts w:ascii="Segoe UI" w:hAnsi="Segoe UI" w:cs="Segoe UI"/>
      <w:sz w:val="18"/>
      <w:szCs w:val="18"/>
    </w:rPr>
  </w:style>
  <w:style w:type="character" w:styleId="Style9" w:customStyle="1">
    <w:name w:val="комментарий"/>
    <w:qFormat/>
    <w:rsid w:val="002339ea"/>
    <w:rPr>
      <w:b/>
      <w:i/>
      <w:shd w:fill="FFFF99" w:val="clear"/>
    </w:rPr>
  </w:style>
  <w:style w:type="character" w:styleId="Style10" w:customStyle="1">
    <w:name w:val="Текст сноски Знак"/>
    <w:basedOn w:val="DefaultParagraphFont"/>
    <w:uiPriority w:val="99"/>
    <w:semiHidden/>
    <w:qFormat/>
    <w:rsid w:val="0071439c"/>
    <w:rPr>
      <w:sz w:val="20"/>
      <w:szCs w:val="20"/>
    </w:rPr>
  </w:style>
  <w:style w:type="character" w:styleId="Style11">
    <w:name w:val="Символ сноски"/>
    <w:uiPriority w:val="99"/>
    <w:semiHidden/>
    <w:unhideWhenUsed/>
    <w:qFormat/>
    <w:rsid w:val="0071439c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0c291a"/>
    <w:rPr>
      <w:color w:val="0563C1" w:themeColor="hyperlink"/>
      <w:u w:val="single"/>
    </w:rPr>
  </w:style>
  <w:style w:type="character" w:styleId="1" w:customStyle="1">
    <w:name w:val="Неразрешенное упоминание1"/>
    <w:basedOn w:val="DefaultParagraphFont"/>
    <w:uiPriority w:val="99"/>
    <w:semiHidden/>
    <w:unhideWhenUsed/>
    <w:qFormat/>
    <w:rsid w:val="000c291a"/>
    <w:rPr>
      <w:color w:val="605E5C"/>
      <w:shd w:fill="E1DFDD" w:val="clear"/>
    </w:rPr>
  </w:style>
  <w:style w:type="character" w:styleId="Style12" w:customStyle="1">
    <w:name w:val="Тема примечания Знак"/>
    <w:basedOn w:val="Style7"/>
    <w:link w:val="Annotationsubject"/>
    <w:uiPriority w:val="99"/>
    <w:semiHidden/>
    <w:qFormat/>
    <w:rsid w:val="00691b03"/>
    <w:rPr>
      <w:b/>
      <w:bCs/>
      <w:sz w:val="20"/>
      <w:szCs w:val="20"/>
    </w:rPr>
  </w:style>
  <w:style w:type="character" w:styleId="11" w:customStyle="1">
    <w:name w:val="Заголовок 1 Знак"/>
    <w:basedOn w:val="DefaultParagraphFont"/>
    <w:qFormat/>
    <w:rsid w:val="00e20f6b"/>
    <w:rPr>
      <w:rFonts w:ascii="Arial" w:hAnsi="Arial" w:eastAsia="Times New Roman" w:cs="Times New Roman"/>
      <w:b/>
      <w:kern w:val="2"/>
      <w:sz w:val="40"/>
      <w:szCs w:val="26"/>
      <w:lang w:eastAsia="ru-RU"/>
    </w:rPr>
  </w:style>
  <w:style w:type="character" w:styleId="2" w:customStyle="1">
    <w:name w:val="Заголовок 2 Знак"/>
    <w:basedOn w:val="DefaultParagraphFont"/>
    <w:uiPriority w:val="9"/>
    <w:semiHidden/>
    <w:qFormat/>
    <w:rsid w:val="00e20f6b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character" w:styleId="24" w:customStyle="1">
    <w:name w:val="Заголовок 2 Знак4"/>
    <w:qFormat/>
    <w:rsid w:val="00e20f6b"/>
    <w:rPr>
      <w:rFonts w:ascii="Times New Roman" w:hAnsi="Times New Roman" w:eastAsia="Times New Roman" w:cs="Times New Roman"/>
      <w:b/>
      <w:sz w:val="32"/>
      <w:szCs w:val="26"/>
      <w:lang w:eastAsia="ru-RU"/>
    </w:rPr>
  </w:style>
  <w:style w:type="character" w:styleId="Style13" w:customStyle="1">
    <w:name w:val="Абзац списка Знак"/>
    <w:basedOn w:val="DefaultParagraphFont"/>
    <w:link w:val="ListParagraph"/>
    <w:uiPriority w:val="34"/>
    <w:qFormat/>
    <w:rsid w:val="00cf68f6"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/>
  </w:style>
  <w:style w:type="paragraph" w:styleId="Annotationtext">
    <w:name w:val="annotation text"/>
    <w:basedOn w:val="Normal"/>
    <w:link w:val="Style7"/>
    <w:uiPriority w:val="99"/>
    <w:unhideWhenUsed/>
    <w:qFormat/>
    <w:rsid w:val="00d73daf"/>
    <w:pPr>
      <w:spacing w:lineRule="auto" w:line="240"/>
    </w:pPr>
    <w:rPr>
      <w:sz w:val="20"/>
      <w:szCs w:val="20"/>
    </w:rPr>
  </w:style>
  <w:style w:type="paragraph" w:styleId="BalloonText">
    <w:name w:val="Balloon Text"/>
    <w:basedOn w:val="Normal"/>
    <w:link w:val="Style8"/>
    <w:uiPriority w:val="99"/>
    <w:semiHidden/>
    <w:unhideWhenUsed/>
    <w:qFormat/>
    <w:rsid w:val="00d73daf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Style13"/>
    <w:uiPriority w:val="34"/>
    <w:qFormat/>
    <w:rsid w:val="001543a2"/>
    <w:pPr>
      <w:spacing w:before="0" w:after="160"/>
      <w:ind w:left="720" w:hanging="0"/>
      <w:contextualSpacing/>
    </w:pPr>
    <w:rPr/>
  </w:style>
  <w:style w:type="paragraph" w:styleId="FootnoteText">
    <w:name w:val="Footnote Text"/>
    <w:basedOn w:val="Normal"/>
    <w:link w:val="Style10"/>
    <w:uiPriority w:val="99"/>
    <w:semiHidden/>
    <w:unhideWhenUsed/>
    <w:rsid w:val="0071439c"/>
    <w:pPr>
      <w:spacing w:lineRule="auto" w:line="240" w:before="0" w:after="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2"/>
    <w:uiPriority w:val="99"/>
    <w:semiHidden/>
    <w:unhideWhenUsed/>
    <w:qFormat/>
    <w:rsid w:val="00691b03"/>
    <w:pPr/>
    <w:rPr>
      <w:b/>
      <w:bCs/>
    </w:rPr>
  </w:style>
  <w:style w:type="paragraph" w:styleId="Revision">
    <w:name w:val="Revision"/>
    <w:uiPriority w:val="99"/>
    <w:semiHidden/>
    <w:qFormat/>
    <w:rsid w:val="007512d5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6" w:customStyle="1">
    <w:name w:val="Пункт"/>
    <w:basedOn w:val="Normal"/>
    <w:qFormat/>
    <w:rsid w:val="00e20f6b"/>
    <w:pPr>
      <w:numPr>
        <w:ilvl w:val="2"/>
        <w:numId w:val="2"/>
      </w:numPr>
      <w:spacing w:lineRule="auto" w:line="240" w:before="120" w:after="0"/>
      <w:jc w:val="both"/>
    </w:pPr>
    <w:rPr>
      <w:rFonts w:ascii="Times New Roman" w:hAnsi="Times New Roman" w:eastAsia="Times New Roman" w:cs="Times New Roman"/>
      <w:sz w:val="26"/>
      <w:szCs w:val="26"/>
      <w:lang w:eastAsia="ru-RU"/>
    </w:rPr>
  </w:style>
  <w:style w:type="paragraph" w:styleId="Style17" w:customStyle="1">
    <w:name w:val="Подпункт"/>
    <w:basedOn w:val="Style16"/>
    <w:qFormat/>
    <w:rsid w:val="00e20f6b"/>
    <w:pPr>
      <w:numPr>
        <w:ilvl w:val="3"/>
      </w:numPr>
    </w:pPr>
    <w:rPr/>
  </w:style>
  <w:style w:type="paragraph" w:styleId="Style18" w:customStyle="1">
    <w:name w:val="Подподпункт"/>
    <w:basedOn w:val="Style17"/>
    <w:qFormat/>
    <w:rsid w:val="00e20f6b"/>
    <w:pPr>
      <w:numPr>
        <w:ilvl w:val="4"/>
      </w:numPr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4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5">
    <w:name w:val="Table Grid"/>
    <w:basedOn w:val="a4"/>
    <w:uiPriority w:val="59"/>
    <w:rsid w:val="00a955e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4BA01-ED61-43F9-947F-DED1B5137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Application>AlterOffice/3.4.0.9$Linux_X86_64 LibreOffice_project/b8daf9e823b1a5463a2f48435ddc2e8696e7d4fc</Application>
  <AppVersion>15.0000</AppVersion>
  <Pages>1</Pages>
  <Words>113</Words>
  <Characters>708</Characters>
  <CharactersWithSpaces>794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2025-03-12T03:32:00Z</dcterms:created>
  <dc:creator>Иваненко Елена Сергеевна</dc:creator>
  <dc:description/>
  <dc:language>ru-RU</dc:language>
  <cp:lastModifiedBy>susinapa@corp.gidroogk.com</cp:lastModifiedBy>
  <dcterms:modified xsi:type="dcterms:W3CDTF">2026-08-21T15:26:41Z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